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ascii="方正小标宋_GBK" w:eastAsia="方正小标宋_GBK"/>
          <w:sz w:val="44"/>
          <w:szCs w:val="44"/>
        </w:rPr>
        <w:t>《沛县县级预算绩效管理成果应用办法》</w:t>
      </w:r>
    </w:p>
    <w:p>
      <w:pPr>
        <w:spacing w:line="600" w:lineRule="exact"/>
        <w:jc w:val="center"/>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起草说明</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rPr>
        <w:t>为贯彻落实《中共中央国务院关于全面实施预算绩效管理的意见》（中发〔2018〕34号）和《中共沛县县委沛县人民政府关于全面推进预算绩效管理的实施意见》（沛委发〔2019〕54号）的精神，健全预算绩效管理制度体系，</w:t>
      </w:r>
      <w:r>
        <w:rPr>
          <w:rFonts w:ascii="方正仿宋_GBK" w:hAnsi="仿宋" w:eastAsia="方正仿宋_GBK"/>
          <w:sz w:val="32"/>
          <w:szCs w:val="32"/>
        </w:rPr>
        <w:t>强化和规范我县县级预算绩效管理成果应用，提高财政资源配置效率和使用效益，推进全面实施预算绩效管理取得实效，</w:t>
      </w:r>
      <w:r>
        <w:rPr>
          <w:rFonts w:hint="eastAsia" w:ascii="方正仿宋_GBK" w:hAnsi="仿宋" w:eastAsia="方正仿宋_GBK"/>
          <w:sz w:val="32"/>
          <w:szCs w:val="32"/>
        </w:rPr>
        <w:t>结合预算管理一体化规范要求和我县实际，</w:t>
      </w:r>
      <w:r>
        <w:rPr>
          <w:rFonts w:hint="eastAsia" w:ascii="方正仿宋_GBK" w:hAnsi="仿宋" w:eastAsia="方正仿宋_GBK"/>
          <w:sz w:val="32"/>
          <w:szCs w:val="32"/>
          <w:lang w:val="en-US" w:eastAsia="zh-CN"/>
        </w:rPr>
        <w:t>沛县财政局起草</w:t>
      </w:r>
      <w:r>
        <w:rPr>
          <w:rFonts w:hint="eastAsia" w:ascii="方正仿宋_GBK" w:hAnsi="仿宋" w:eastAsia="方正仿宋_GBK"/>
          <w:sz w:val="32"/>
          <w:szCs w:val="32"/>
        </w:rPr>
        <w:t>了</w:t>
      </w:r>
      <w:r>
        <w:rPr>
          <w:rFonts w:ascii="方正仿宋_GBK" w:hAnsi="仿宋" w:eastAsia="方正仿宋_GBK"/>
          <w:sz w:val="32"/>
          <w:szCs w:val="32"/>
        </w:rPr>
        <w:t>《</w:t>
      </w:r>
      <w:r>
        <w:rPr>
          <w:rFonts w:hint="eastAsia" w:ascii="方正仿宋_GBK" w:hAnsi="仿宋" w:eastAsia="方正仿宋_GBK"/>
          <w:sz w:val="32"/>
          <w:szCs w:val="32"/>
        </w:rPr>
        <w:t>沛县县级预算绩效管理成果应用办法</w:t>
      </w:r>
      <w:r>
        <w:rPr>
          <w:rFonts w:ascii="方正仿宋_GBK" w:hAnsi="仿宋" w:eastAsia="方正仿宋_GBK"/>
          <w:sz w:val="32"/>
          <w:szCs w:val="32"/>
        </w:rPr>
        <w:t>》</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以下简称《办法》</w:t>
      </w:r>
      <w:r>
        <w:rPr>
          <w:rFonts w:hint="eastAsia" w:ascii="方正仿宋_GBK" w:hAnsi="仿宋" w:eastAsia="方正仿宋_GBK"/>
          <w:sz w:val="32"/>
          <w:szCs w:val="32"/>
          <w:lang w:eastAsia="zh-CN"/>
        </w:rPr>
        <w:t>）</w:t>
      </w:r>
      <w:r>
        <w:rPr>
          <w:rFonts w:ascii="方正仿宋_GBK" w:hAnsi="仿宋" w:eastAsia="方正仿宋_GBK"/>
          <w:sz w:val="32"/>
          <w:szCs w:val="32"/>
        </w:rPr>
        <w:t>，</w:t>
      </w:r>
      <w:r>
        <w:rPr>
          <w:rFonts w:hint="eastAsia" w:ascii="方正仿宋_GBK" w:hAnsi="仿宋" w:eastAsia="方正仿宋_GBK"/>
          <w:sz w:val="32"/>
          <w:szCs w:val="32"/>
          <w:lang w:val="en-US" w:eastAsia="zh-CN"/>
        </w:rPr>
        <w:t>现将起草相关情况说明如下：</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一、《办法》出台背景</w:t>
      </w:r>
    </w:p>
    <w:p>
      <w:pPr>
        <w:spacing w:line="560" w:lineRule="exact"/>
        <w:ind w:firstLine="640" w:firstLineChars="200"/>
        <w:rPr>
          <w:rFonts w:ascii="方正仿宋_GBK" w:hAnsi="仿宋" w:eastAsia="方正仿宋_GBK"/>
          <w:sz w:val="32"/>
          <w:szCs w:val="32"/>
        </w:rPr>
      </w:pPr>
      <w:r>
        <w:rPr>
          <w:rFonts w:ascii="方正仿宋_GBK" w:hAnsi="仿宋" w:eastAsia="方正仿宋_GBK"/>
          <w:sz w:val="32"/>
          <w:szCs w:val="32"/>
        </w:rPr>
        <w:t>为强化和规范县级预算绩效管理成果应用，提高财政资源配置效率和使用效益，推进全面实施预算绩效管理取得实效，根据</w:t>
      </w:r>
      <w:r>
        <w:rPr>
          <w:rFonts w:hint="eastAsia" w:ascii="方正仿宋_GBK" w:hAnsi="仿宋" w:eastAsia="方正仿宋_GBK"/>
          <w:sz w:val="32"/>
          <w:szCs w:val="32"/>
        </w:rPr>
        <w:t>《中华人民共和国预算法》《中华人民共和国预算法实施条例》等法律法规及《中共沛县县委沛县人民政府关于全面推进预算绩效管理的实施意见》（沛委发〔2019〕54号）和</w:t>
      </w:r>
      <w:r>
        <w:rPr>
          <w:rFonts w:ascii="方正仿宋_GBK" w:hAnsi="仿宋" w:eastAsia="方正仿宋_GBK"/>
          <w:sz w:val="32"/>
          <w:szCs w:val="32"/>
        </w:rPr>
        <w:t>《</w:t>
      </w:r>
      <w:r>
        <w:rPr>
          <w:rFonts w:hint="eastAsia" w:ascii="方正仿宋_GBK" w:hAnsi="仿宋" w:eastAsia="方正仿宋_GBK"/>
          <w:sz w:val="32"/>
          <w:szCs w:val="32"/>
        </w:rPr>
        <w:t>沛县县</w:t>
      </w:r>
      <w:r>
        <w:rPr>
          <w:rFonts w:ascii="方正仿宋_GBK" w:hAnsi="仿宋" w:eastAsia="方正仿宋_GBK"/>
          <w:sz w:val="32"/>
          <w:szCs w:val="32"/>
        </w:rPr>
        <w:t>级财政专项资金管理办法》</w:t>
      </w:r>
      <w:r>
        <w:rPr>
          <w:rFonts w:hint="eastAsia" w:ascii="方正仿宋_GBK" w:hAnsi="仿宋" w:eastAsia="方正仿宋_GBK"/>
          <w:sz w:val="32"/>
          <w:szCs w:val="32"/>
        </w:rPr>
        <w:t>（沛政规〔2023〕1号）</w:t>
      </w:r>
      <w:r>
        <w:rPr>
          <w:rFonts w:ascii="方正仿宋_GBK" w:hAnsi="仿宋" w:eastAsia="方正仿宋_GBK"/>
          <w:sz w:val="32"/>
          <w:szCs w:val="32"/>
        </w:rPr>
        <w:t>等有关规定，</w:t>
      </w:r>
      <w:r>
        <w:rPr>
          <w:rFonts w:hint="eastAsia" w:ascii="方正仿宋_GBK" w:hAnsi="仿宋" w:eastAsia="方正仿宋_GBK"/>
          <w:sz w:val="32"/>
          <w:szCs w:val="32"/>
          <w:lang w:val="en-US" w:eastAsia="zh-CN"/>
        </w:rPr>
        <w:t>出台</w:t>
      </w:r>
      <w:r>
        <w:rPr>
          <w:rFonts w:ascii="方正仿宋_GBK" w:hAnsi="仿宋" w:eastAsia="方正仿宋_GBK"/>
          <w:sz w:val="32"/>
          <w:szCs w:val="32"/>
        </w:rPr>
        <w:t>本办法。</w:t>
      </w:r>
    </w:p>
    <w:p>
      <w:pPr>
        <w:numPr>
          <w:ilvl w:val="0"/>
          <w:numId w:val="1"/>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《办法》主要内容。</w:t>
      </w:r>
    </w:p>
    <w:p>
      <w:pPr>
        <w:spacing w:line="560" w:lineRule="exact"/>
        <w:ind w:firstLine="640" w:firstLineChars="200"/>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《办法》共有九章三十六条。分别为“总则”、“</w:t>
      </w:r>
      <w:r>
        <w:rPr>
          <w:rFonts w:hint="eastAsia" w:ascii="方正仿宋_GBK" w:hAnsi="仿宋" w:eastAsia="方正仿宋_GBK"/>
          <w:sz w:val="32"/>
          <w:szCs w:val="32"/>
        </w:rPr>
        <w:t>反馈与整改</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报告与通报</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向社会公开</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与考核挂钩</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与问责挂钩</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与预算挂钩</w:t>
      </w:r>
      <w:r>
        <w:rPr>
          <w:rFonts w:hint="eastAsia" w:ascii="方正仿宋_GBK" w:hAnsi="仿宋" w:eastAsia="方正仿宋_GBK"/>
          <w:sz w:val="32"/>
          <w:szCs w:val="32"/>
          <w:lang w:val="en-US" w:eastAsia="zh-CN"/>
        </w:rPr>
        <w:t>”、“</w:t>
      </w:r>
      <w:r>
        <w:rPr>
          <w:rFonts w:hint="eastAsia" w:ascii="方正仿宋_GBK" w:hAnsi="仿宋" w:eastAsia="方正仿宋_GBK"/>
          <w:sz w:val="32"/>
          <w:szCs w:val="32"/>
        </w:rPr>
        <w:t>工作监督</w:t>
      </w:r>
      <w:r>
        <w:rPr>
          <w:rFonts w:hint="eastAsia" w:ascii="方正仿宋_GBK" w:hAnsi="仿宋" w:eastAsia="方正仿宋_GBK"/>
          <w:sz w:val="32"/>
          <w:szCs w:val="32"/>
          <w:lang w:val="en-US" w:eastAsia="zh-CN"/>
        </w:rPr>
        <w:t>”和“</w:t>
      </w:r>
      <w:r>
        <w:rPr>
          <w:rFonts w:hint="eastAsia" w:ascii="方正仿宋_GBK" w:hAnsi="仿宋" w:eastAsia="方正仿宋_GBK"/>
          <w:sz w:val="32"/>
          <w:szCs w:val="32"/>
        </w:rPr>
        <w:t>附则</w:t>
      </w:r>
      <w:r>
        <w:rPr>
          <w:rFonts w:hint="eastAsia" w:ascii="方正仿宋_GBK" w:hAnsi="仿宋" w:eastAsia="方正仿宋_GBK"/>
          <w:sz w:val="32"/>
          <w:szCs w:val="32"/>
          <w:lang w:val="en-US" w:eastAsia="zh-CN"/>
        </w:rPr>
        <w:t>”。</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一是明确了</w:t>
      </w:r>
      <w:r>
        <w:rPr>
          <w:rFonts w:ascii="方正仿宋_GBK" w:hAnsi="仿宋" w:eastAsia="方正仿宋_GBK"/>
          <w:sz w:val="32"/>
          <w:szCs w:val="32"/>
        </w:rPr>
        <w:t>预算绩效管理成果</w:t>
      </w:r>
      <w:r>
        <w:rPr>
          <w:rFonts w:hint="eastAsia" w:ascii="方正仿宋_GBK" w:hAnsi="仿宋" w:eastAsia="方正仿宋_GBK"/>
          <w:sz w:val="32"/>
          <w:szCs w:val="32"/>
          <w:lang w:val="en-US" w:eastAsia="zh-CN"/>
        </w:rPr>
        <w:t>的概念、责任主体、应用方式。</w:t>
      </w:r>
      <w:r>
        <w:rPr>
          <w:rFonts w:ascii="方正仿宋_GBK" w:hAnsi="仿宋" w:eastAsia="方正仿宋_GBK"/>
          <w:sz w:val="32"/>
          <w:szCs w:val="32"/>
        </w:rPr>
        <w:t>预算绩效管理责任主体根据建立全方位、全过程、全覆盖预算绩效管理体系的相关要求，组织开展绩效评估、绩效目标管理、绩效运行监控、绩效评价等工作所形成的数据、报告、结果、结论等。预算绩效管理责任主体包括县财政局、县级预算单位以及镇（街道、区）财政部门。预算绩效管理成果应用方式主要包括反馈与整改、报告与通报、向社会公开、与考核挂钩、与问责挂钩、与预算挂钩等。</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二是明确反馈与整改具体要求。</w:t>
      </w:r>
      <w:r>
        <w:rPr>
          <w:rFonts w:ascii="方正仿宋_GBK" w:hAnsi="仿宋" w:eastAsia="方正仿宋_GBK"/>
          <w:sz w:val="32"/>
          <w:szCs w:val="32"/>
        </w:rPr>
        <w:t>县财政局将绩效目标“一上”审核结果与部门预算“一下”同步反馈县级预算单位。县级预算单位根据审核意见，结合“一下”控制数，调整完善绩效目标，与部门预算“二上”同步报送县财政局。对未按时间要求及时报送整改落实情况或整改措施的予以提醒，视情组织整改情况抽查复核，对无正当理由拒不整改、整改不到位或虚报整改情况的酌情暂停资金拨付或核减下一年度预算安排。</w:t>
      </w:r>
    </w:p>
    <w:p>
      <w:pPr>
        <w:spacing w:line="56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三是明确报告、通报与公开制度。</w:t>
      </w:r>
      <w:r>
        <w:rPr>
          <w:rFonts w:ascii="方正仿宋_GBK" w:hAnsi="仿宋" w:eastAsia="方正仿宋_GBK"/>
          <w:sz w:val="32"/>
          <w:szCs w:val="32"/>
        </w:rPr>
        <w:t>县财政局应将县级预算单位的整体绩效目标和重要政策、项目绩效目标报送县人大及其常务委员会。县级预算单位应按照有关规定将县财政局批复的预算绩效目标，通过预决算公开统一平台，与部门预算同步向社会公开。预算绩效目标公开内容为：批复的预算绩效目标申报表中的基本信息、绩效目标、绩效评价指标与标准值等。</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方正仿宋_GBK" w:hAnsi="微软雅黑" w:eastAsia="方正仿宋_GBK" w:cs="微软雅黑"/>
          <w:snapToGrid w:val="0"/>
          <w:color w:val="000000"/>
          <w:spacing w:val="5"/>
          <w:kern w:val="0"/>
          <w:sz w:val="32"/>
          <w:szCs w:val="32"/>
        </w:rPr>
      </w:pPr>
      <w:bookmarkStart w:id="0" w:name="_GoBack"/>
      <w:r>
        <w:rPr>
          <w:rFonts w:hint="eastAsia" w:ascii="方正仿宋_GBK" w:hAnsi="仿宋" w:eastAsia="方正仿宋_GBK"/>
          <w:sz w:val="32"/>
          <w:szCs w:val="32"/>
          <w:lang w:val="en-US" w:eastAsia="zh-CN"/>
        </w:rPr>
        <w:t>四是强化考核与问责。</w:t>
      </w:r>
      <w:r>
        <w:rPr>
          <w:rFonts w:ascii="方正仿宋_GBK" w:hAnsi="仿宋" w:eastAsia="方正仿宋_GBK"/>
          <w:sz w:val="32"/>
          <w:szCs w:val="32"/>
        </w:rPr>
        <w:t>县级预算单位年度预算绩效管理结果纳入政府绩效考核体系。县财政局作为考核责任部门，对相关考核指标进行评分。考核结果抄送县委组织部、县审计局，作为干部政绩考核和经济责任审计的参考依据。考核结果排名靠后的县级预算单位和镇（街道、区）财政部门，县财政局应要求其说明情况，提出改进措施。</w:t>
      </w:r>
    </w:p>
    <w:bookmarkEnd w:id="0"/>
    <w:p>
      <w:pPr>
        <w:widowControl/>
        <w:jc w:val="left"/>
        <w:rPr>
          <w:rFonts w:hint="eastAsia" w:ascii="方正仿宋_GBK" w:hAnsi="微软雅黑" w:eastAsia="方正仿宋_GBK" w:cs="微软雅黑"/>
          <w:snapToGrid w:val="0"/>
          <w:color w:val="000000"/>
          <w:spacing w:val="5"/>
          <w:kern w:val="0"/>
          <w:sz w:val="32"/>
          <w:szCs w:val="32"/>
        </w:rPr>
      </w:pPr>
    </w:p>
    <w:p>
      <w:pPr>
        <w:widowControl/>
        <w:jc w:val="left"/>
        <w:rPr>
          <w:rFonts w:hint="eastAsia" w:ascii="方正仿宋_GBK" w:hAnsi="微软雅黑" w:eastAsia="方正仿宋_GBK" w:cs="微软雅黑"/>
          <w:snapToGrid w:val="0"/>
          <w:color w:val="000000"/>
          <w:spacing w:val="5"/>
          <w:kern w:val="0"/>
          <w:sz w:val="32"/>
          <w:szCs w:val="32"/>
        </w:rPr>
      </w:pPr>
    </w:p>
    <w:p>
      <w:pPr>
        <w:widowControl/>
        <w:jc w:val="left"/>
        <w:rPr>
          <w:rFonts w:hint="eastAsia" w:ascii="方正仿宋_GBK" w:hAnsi="微软雅黑" w:eastAsia="方正仿宋_GBK" w:cs="微软雅黑"/>
          <w:snapToGrid w:val="0"/>
          <w:color w:val="000000"/>
          <w:spacing w:val="5"/>
          <w:kern w:val="0"/>
          <w:sz w:val="32"/>
          <w:szCs w:val="32"/>
        </w:rPr>
      </w:pPr>
    </w:p>
    <w:tbl>
      <w:tblPr>
        <w:tblStyle w:val="4"/>
        <w:tblpPr w:leftFromText="180" w:rightFromText="180" w:vertAnchor="text" w:horzAnchor="margin" w:tblpY="10910"/>
        <w:tblW w:w="0" w:type="auto"/>
        <w:tblInd w:w="0" w:type="dxa"/>
        <w:tblLayout w:type="autofit"/>
        <w:tblCellMar>
          <w:top w:w="0" w:type="dxa"/>
          <w:left w:w="108" w:type="dxa"/>
          <w:bottom w:w="0" w:type="dxa"/>
          <w:right w:w="108" w:type="dxa"/>
        </w:tblCellMar>
      </w:tblPr>
      <w:tblGrid>
        <w:gridCol w:w="9004"/>
      </w:tblGrid>
      <w:tr>
        <w:tblPrEx>
          <w:tblCellMar>
            <w:top w:w="0" w:type="dxa"/>
            <w:left w:w="108" w:type="dxa"/>
            <w:bottom w:w="0" w:type="dxa"/>
            <w:right w:w="108" w:type="dxa"/>
          </w:tblCellMar>
        </w:tblPrEx>
        <w:tc>
          <w:tcPr>
            <w:tcW w:w="9004" w:type="dxa"/>
            <w:tcBorders>
              <w:bottom w:val="single" w:color="auto" w:sz="12" w:space="0"/>
            </w:tcBorders>
          </w:tcPr>
          <w:p>
            <w:pPr>
              <w:widowControl/>
              <w:spacing w:line="560" w:lineRule="exact"/>
              <w:ind w:right="641"/>
              <w:jc w:val="left"/>
              <w:rPr>
                <w:rFonts w:ascii="方正黑体_GBK" w:hAnsi="华文中宋" w:eastAsia="方正黑体_GBK" w:cs="Times New Roman"/>
                <w:sz w:val="28"/>
                <w:szCs w:val="28"/>
              </w:rPr>
            </w:pPr>
            <w:r>
              <w:rPr>
                <w:rFonts w:hint="eastAsia" w:ascii="方正黑体_GBK" w:hAnsi="宋体" w:eastAsia="方正黑体_GBK" w:cs="宋体"/>
                <w:kern w:val="0"/>
                <w:sz w:val="32"/>
                <w:szCs w:val="32"/>
              </w:rPr>
              <w:t>信息公开选项：主动公开</w:t>
            </w:r>
          </w:p>
        </w:tc>
      </w:tr>
      <w:tr>
        <w:tblPrEx>
          <w:tblCellMar>
            <w:top w:w="0" w:type="dxa"/>
            <w:left w:w="108" w:type="dxa"/>
            <w:bottom w:w="0" w:type="dxa"/>
            <w:right w:w="108" w:type="dxa"/>
          </w:tblCellMar>
        </w:tblPrEx>
        <w:tc>
          <w:tcPr>
            <w:tcW w:w="9004" w:type="dxa"/>
            <w:tcBorders>
              <w:top w:val="single" w:color="auto" w:sz="12" w:space="0"/>
              <w:bottom w:val="single" w:color="auto" w:sz="6" w:space="0"/>
            </w:tcBorders>
          </w:tcPr>
          <w:p>
            <w:pPr>
              <w:tabs>
                <w:tab w:val="left" w:pos="7560"/>
              </w:tabs>
              <w:spacing w:line="560" w:lineRule="exact"/>
              <w:ind w:firstLine="280" w:firstLineChars="100"/>
              <w:rPr>
                <w:rFonts w:ascii="方正仿宋_GBK" w:hAnsi="华文中宋" w:eastAsia="方正仿宋_GBK" w:cs="Times New Roman"/>
                <w:sz w:val="28"/>
                <w:szCs w:val="28"/>
              </w:rPr>
            </w:pPr>
            <w:r>
              <w:rPr>
                <w:rFonts w:hint="eastAsia" w:ascii="方正仿宋_GBK" w:hAnsi="华文中宋" w:eastAsia="方正仿宋_GBK" w:cs="Times New Roman"/>
                <w:sz w:val="28"/>
                <w:szCs w:val="28"/>
              </w:rPr>
              <w:t>抄送：各镇（街道、区）财政所（局）。</w:t>
            </w:r>
          </w:p>
        </w:tc>
      </w:tr>
      <w:tr>
        <w:tblPrEx>
          <w:tblCellMar>
            <w:top w:w="0" w:type="dxa"/>
            <w:left w:w="108" w:type="dxa"/>
            <w:bottom w:w="0" w:type="dxa"/>
            <w:right w:w="108" w:type="dxa"/>
          </w:tblCellMar>
        </w:tblPrEx>
        <w:tc>
          <w:tcPr>
            <w:tcW w:w="9004" w:type="dxa"/>
            <w:tcBorders>
              <w:top w:val="single" w:color="auto" w:sz="6" w:space="0"/>
              <w:bottom w:val="single" w:color="auto" w:sz="12" w:space="0"/>
            </w:tcBorders>
          </w:tcPr>
          <w:p>
            <w:pPr>
              <w:tabs>
                <w:tab w:val="left" w:pos="7560"/>
              </w:tabs>
              <w:spacing w:line="560" w:lineRule="exact"/>
              <w:ind w:firstLine="280" w:firstLineChars="100"/>
              <w:rPr>
                <w:rFonts w:ascii="方正仿宋_GBK" w:hAnsi="华文中宋" w:eastAsia="方正仿宋_GBK" w:cs="Times New Roman"/>
                <w:sz w:val="28"/>
                <w:szCs w:val="28"/>
              </w:rPr>
            </w:pPr>
            <w:r>
              <w:rPr>
                <w:rFonts w:hint="eastAsia" w:ascii="方正仿宋_GBK" w:hAnsi="华文中宋" w:eastAsia="方正仿宋_GBK" w:cs="Times New Roman"/>
                <w:sz w:val="28"/>
                <w:szCs w:val="28"/>
              </w:rPr>
              <w:t xml:space="preserve">沛县财政局办公室　　　　　　             </w:t>
            </w:r>
            <w:r>
              <w:rPr>
                <w:rFonts w:hint="eastAsia" w:ascii="方正仿宋_GBK" w:hAnsi="Times New Roman" w:eastAsia="方正仿宋_GBK" w:cs="Times New Roman"/>
                <w:snapToGrid w:val="0"/>
                <w:kern w:val="0"/>
                <w:sz w:val="28"/>
                <w:szCs w:val="28"/>
              </w:rPr>
              <w:t>2023年7月24日印发</w:t>
            </w:r>
          </w:p>
        </w:tc>
      </w:tr>
    </w:tbl>
    <w:p>
      <w:pPr>
        <w:widowControl/>
        <w:jc w:val="left"/>
        <w:rPr>
          <w:rFonts w:ascii="方正仿宋_GBK" w:hAnsi="微软雅黑" w:eastAsia="方正仿宋_GBK" w:cs="微软雅黑"/>
          <w:snapToGrid w:val="0"/>
          <w:color w:val="000000"/>
          <w:spacing w:val="5"/>
          <w:kern w:val="0"/>
          <w:sz w:val="32"/>
          <w:szCs w:val="32"/>
        </w:rPr>
      </w:pPr>
    </w:p>
    <w:sectPr>
      <w:footerReference r:id="rId3" w:type="default"/>
      <w:footerReference r:id="rId4" w:type="even"/>
      <w:pgSz w:w="11906" w:h="16838"/>
      <w:pgMar w:top="2098" w:right="1474" w:bottom="1985" w:left="1588" w:header="851" w:footer="1247"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66959"/>
      <w:docPartObj>
        <w:docPartGallery w:val="autotext"/>
      </w:docPartObj>
    </w:sdtPr>
    <w:sdtEndPr>
      <w:rPr>
        <w:rFonts w:ascii="宋体" w:hAnsi="宋体" w:eastAsia="宋体"/>
        <w:sz w:val="28"/>
        <w:szCs w:val="28"/>
      </w:rPr>
    </w:sdtEndPr>
    <w:sdtContent>
      <w:p>
        <w:pPr>
          <w:pStyle w:val="2"/>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708720"/>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2EAA4"/>
    <w:multiLevelType w:val="singleLevel"/>
    <w:tmpl w:val="B8E2EA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GMyMDM4NDgxY2E2NzhhY2RmMzZjZDc1ODFmYjkifQ=="/>
  </w:docVars>
  <w:rsids>
    <w:rsidRoot w:val="00717515"/>
    <w:rsid w:val="000414E8"/>
    <w:rsid w:val="00075209"/>
    <w:rsid w:val="00092A23"/>
    <w:rsid w:val="000B269A"/>
    <w:rsid w:val="000F3EFA"/>
    <w:rsid w:val="001076B4"/>
    <w:rsid w:val="00133A31"/>
    <w:rsid w:val="00141EFC"/>
    <w:rsid w:val="001836C4"/>
    <w:rsid w:val="001B44CD"/>
    <w:rsid w:val="001B5973"/>
    <w:rsid w:val="001D5C59"/>
    <w:rsid w:val="001D697E"/>
    <w:rsid w:val="002025B7"/>
    <w:rsid w:val="002053D6"/>
    <w:rsid w:val="00213474"/>
    <w:rsid w:val="0022405E"/>
    <w:rsid w:val="002439A7"/>
    <w:rsid w:val="00266975"/>
    <w:rsid w:val="00284F8D"/>
    <w:rsid w:val="00290266"/>
    <w:rsid w:val="002C050A"/>
    <w:rsid w:val="002C699D"/>
    <w:rsid w:val="002C69D4"/>
    <w:rsid w:val="002D21A8"/>
    <w:rsid w:val="002E7129"/>
    <w:rsid w:val="00300E83"/>
    <w:rsid w:val="00380D32"/>
    <w:rsid w:val="003B691B"/>
    <w:rsid w:val="003C0DA3"/>
    <w:rsid w:val="003E77F2"/>
    <w:rsid w:val="003F0EC0"/>
    <w:rsid w:val="00447835"/>
    <w:rsid w:val="00450BFA"/>
    <w:rsid w:val="00486414"/>
    <w:rsid w:val="004903B8"/>
    <w:rsid w:val="004B0AEE"/>
    <w:rsid w:val="004E3373"/>
    <w:rsid w:val="004F3C65"/>
    <w:rsid w:val="004F40FC"/>
    <w:rsid w:val="005562AD"/>
    <w:rsid w:val="00570497"/>
    <w:rsid w:val="005A57FC"/>
    <w:rsid w:val="005F10DD"/>
    <w:rsid w:val="005F2769"/>
    <w:rsid w:val="006256F3"/>
    <w:rsid w:val="00640F4C"/>
    <w:rsid w:val="00682385"/>
    <w:rsid w:val="00687B01"/>
    <w:rsid w:val="006C5355"/>
    <w:rsid w:val="006D60D1"/>
    <w:rsid w:val="00700B4A"/>
    <w:rsid w:val="00717515"/>
    <w:rsid w:val="00780C4B"/>
    <w:rsid w:val="007A6F94"/>
    <w:rsid w:val="007B09A1"/>
    <w:rsid w:val="007C422A"/>
    <w:rsid w:val="00846DA6"/>
    <w:rsid w:val="008542AD"/>
    <w:rsid w:val="008813BB"/>
    <w:rsid w:val="0088237A"/>
    <w:rsid w:val="00891217"/>
    <w:rsid w:val="008A256B"/>
    <w:rsid w:val="008F0BBE"/>
    <w:rsid w:val="008F4DE0"/>
    <w:rsid w:val="00902C3F"/>
    <w:rsid w:val="00977713"/>
    <w:rsid w:val="009B2F0F"/>
    <w:rsid w:val="009B3A3D"/>
    <w:rsid w:val="009E24D6"/>
    <w:rsid w:val="00A44E3A"/>
    <w:rsid w:val="00AA17A2"/>
    <w:rsid w:val="00AA2078"/>
    <w:rsid w:val="00B22C24"/>
    <w:rsid w:val="00B2373B"/>
    <w:rsid w:val="00B300E8"/>
    <w:rsid w:val="00B31BFE"/>
    <w:rsid w:val="00B42839"/>
    <w:rsid w:val="00BC6976"/>
    <w:rsid w:val="00BD356E"/>
    <w:rsid w:val="00BE2298"/>
    <w:rsid w:val="00BE3F36"/>
    <w:rsid w:val="00BF7B15"/>
    <w:rsid w:val="00C03C5E"/>
    <w:rsid w:val="00C113D2"/>
    <w:rsid w:val="00C275B1"/>
    <w:rsid w:val="00C768A7"/>
    <w:rsid w:val="00CC1B77"/>
    <w:rsid w:val="00CC6821"/>
    <w:rsid w:val="00CC6AD1"/>
    <w:rsid w:val="00CD0B12"/>
    <w:rsid w:val="00CE691C"/>
    <w:rsid w:val="00CF5667"/>
    <w:rsid w:val="00D150A4"/>
    <w:rsid w:val="00D233D8"/>
    <w:rsid w:val="00D30207"/>
    <w:rsid w:val="00D62F95"/>
    <w:rsid w:val="00D65A56"/>
    <w:rsid w:val="00D765BB"/>
    <w:rsid w:val="00D77458"/>
    <w:rsid w:val="00DE6E42"/>
    <w:rsid w:val="00E0381D"/>
    <w:rsid w:val="00E315A0"/>
    <w:rsid w:val="00E360DE"/>
    <w:rsid w:val="00E45AAB"/>
    <w:rsid w:val="00E71BD8"/>
    <w:rsid w:val="00E936C1"/>
    <w:rsid w:val="00ED2394"/>
    <w:rsid w:val="00EE71AB"/>
    <w:rsid w:val="00F07D54"/>
    <w:rsid w:val="00F11482"/>
    <w:rsid w:val="00F77F95"/>
    <w:rsid w:val="00F84C29"/>
    <w:rsid w:val="00FA35F8"/>
    <w:rsid w:val="00FA7AEA"/>
    <w:rsid w:val="28373225"/>
    <w:rsid w:val="5BDC19F5"/>
    <w:rsid w:val="67D6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6230-B0F2-41E1-9D41-ECC1064F8F83}">
  <ds:schemaRefs/>
</ds:datastoreItem>
</file>

<file path=docProps/app.xml><?xml version="1.0" encoding="utf-8"?>
<Properties xmlns="http://schemas.openxmlformats.org/officeDocument/2006/extended-properties" xmlns:vt="http://schemas.openxmlformats.org/officeDocument/2006/docPropsVTypes">
  <Template>Normal</Template>
  <Pages>10</Pages>
  <Words>3488</Words>
  <Characters>3537</Characters>
  <Lines>26</Lines>
  <Paragraphs>7</Paragraphs>
  <TotalTime>5</TotalTime>
  <ScaleCrop>false</ScaleCrop>
  <LinksUpToDate>false</LinksUpToDate>
  <CharactersWithSpaces>3611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2023-05-29T08:46:00Z</dcterms:created>
  <dc:creator>px</dc:creator>
  <cp:lastModifiedBy>综合科王凡</cp:lastModifiedBy>
  <dcterms:modified xsi:type="dcterms:W3CDTF">2024-01-31T11:29:24Z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3FD03F3D08E740C8861F93D2CBB9B699_13</vt:lpwstr>
  </property>
</Properties>
</file>